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0A3" w:rsidRDefault="007630A3" w:rsidP="007630A3">
      <w:pPr>
        <w:spacing w:after="0" w:line="240" w:lineRule="auto"/>
        <w:rPr>
          <w:b/>
        </w:rPr>
      </w:pPr>
      <w:r>
        <w:rPr>
          <w:b/>
        </w:rPr>
        <w:t>Partie 4 : Mobiliser les ressources</w:t>
      </w:r>
    </w:p>
    <w:p w:rsidR="007630A3" w:rsidRDefault="007630A3" w:rsidP="007630A3">
      <w:pPr>
        <w:spacing w:after="0" w:line="240" w:lineRule="auto"/>
        <w:rPr>
          <w:b/>
        </w:rPr>
      </w:pPr>
    </w:p>
    <w:p w:rsidR="007630A3" w:rsidRDefault="007630A3" w:rsidP="007630A3">
      <w:pPr>
        <w:spacing w:after="0" w:line="240" w:lineRule="auto"/>
        <w:rPr>
          <w:b/>
        </w:rPr>
      </w:pPr>
      <w:r>
        <w:rPr>
          <w:b/>
        </w:rPr>
        <w:t>Point 4.1 : Mobiliser les ressources humaines</w:t>
      </w:r>
    </w:p>
    <w:p w:rsidR="007630A3" w:rsidRDefault="007630A3" w:rsidP="007630A3">
      <w:pPr>
        <w:spacing w:after="0" w:line="240" w:lineRule="auto"/>
        <w:jc w:val="center"/>
        <w:rPr>
          <w:b/>
        </w:rPr>
      </w:pPr>
    </w:p>
    <w:p w:rsidR="007630A3" w:rsidRDefault="007630A3" w:rsidP="007630A3">
      <w:pPr>
        <w:spacing w:after="0" w:line="240" w:lineRule="auto"/>
        <w:jc w:val="center"/>
        <w:rPr>
          <w:b/>
        </w:rPr>
      </w:pPr>
    </w:p>
    <w:p w:rsidR="007630A3" w:rsidRPr="00F44B7D" w:rsidRDefault="007630A3" w:rsidP="007630A3">
      <w:pPr>
        <w:spacing w:after="0" w:line="240" w:lineRule="auto"/>
        <w:jc w:val="center"/>
        <w:rPr>
          <w:b/>
        </w:rPr>
      </w:pPr>
      <w:r>
        <w:rPr>
          <w:b/>
        </w:rPr>
        <w:t>L’ADAPTATION DES RESSOURCES HUMAINES AUX OBJECTIFS STRATEGIQUES</w:t>
      </w:r>
    </w:p>
    <w:p w:rsidR="007630A3" w:rsidRDefault="007630A3" w:rsidP="007630A3">
      <w:pPr>
        <w:spacing w:after="0" w:line="240" w:lineRule="auto"/>
        <w:jc w:val="center"/>
        <w:rPr>
          <w:b/>
        </w:rPr>
      </w:pPr>
    </w:p>
    <w:p w:rsidR="007630A3" w:rsidRDefault="007630A3" w:rsidP="007630A3">
      <w:pPr>
        <w:spacing w:after="0" w:line="240" w:lineRule="auto"/>
        <w:jc w:val="center"/>
        <w:rPr>
          <w:b/>
        </w:rPr>
      </w:pPr>
    </w:p>
    <w:p w:rsidR="007563B4" w:rsidRDefault="007563B4" w:rsidP="007630A3">
      <w:pPr>
        <w:pBdr>
          <w:top w:val="single" w:sz="4" w:space="1" w:color="auto"/>
          <w:left w:val="single" w:sz="4" w:space="4" w:color="auto"/>
          <w:bottom w:val="single" w:sz="4" w:space="1" w:color="auto"/>
          <w:right w:val="single" w:sz="4" w:space="4" w:color="auto"/>
        </w:pBdr>
        <w:spacing w:after="0" w:line="240" w:lineRule="auto"/>
        <w:jc w:val="center"/>
        <w:rPr>
          <w:b/>
        </w:rPr>
      </w:pPr>
      <w:r>
        <w:rPr>
          <w:b/>
        </w:rPr>
        <w:t>LES RESSOURCES</w:t>
      </w:r>
    </w:p>
    <w:p w:rsidR="007563B4" w:rsidRDefault="007563B4" w:rsidP="007563B4"/>
    <w:p w:rsidR="007563B4" w:rsidRPr="003340B6" w:rsidRDefault="007563B4" w:rsidP="007563B4">
      <w:pPr>
        <w:spacing w:after="0" w:line="240" w:lineRule="auto"/>
        <w:jc w:val="both"/>
        <w:rPr>
          <w:rFonts w:cstheme="minorHAnsi"/>
          <w:b/>
        </w:rPr>
      </w:pPr>
      <w:r w:rsidRPr="003340B6">
        <w:rPr>
          <w:rFonts w:cstheme="minorHAnsi"/>
          <w:b/>
        </w:rPr>
        <w:t>Ressource 1 : Emploi et compétence</w:t>
      </w:r>
    </w:p>
    <w:p w:rsidR="007563B4" w:rsidRPr="003340B6" w:rsidRDefault="007563B4" w:rsidP="007563B4">
      <w:pPr>
        <w:pStyle w:val="titrepage"/>
        <w:spacing w:before="0" w:beforeAutospacing="0" w:after="0" w:afterAutospacing="0"/>
        <w:jc w:val="both"/>
        <w:rPr>
          <w:rFonts w:asciiTheme="minorHAnsi" w:hAnsiTheme="minorHAnsi" w:cstheme="minorHAnsi"/>
          <w:color w:val="auto"/>
          <w:sz w:val="22"/>
          <w:szCs w:val="22"/>
        </w:rPr>
      </w:pPr>
    </w:p>
    <w:p w:rsidR="007563B4" w:rsidRPr="001460EE" w:rsidRDefault="007563B4" w:rsidP="007563B4">
      <w:pPr>
        <w:spacing w:after="0" w:line="240" w:lineRule="auto"/>
        <w:jc w:val="both"/>
        <w:rPr>
          <w:rFonts w:cstheme="minorHAnsi"/>
        </w:rPr>
      </w:pPr>
      <w:r w:rsidRPr="001460EE">
        <w:rPr>
          <w:rFonts w:cstheme="minorHAnsi"/>
        </w:rPr>
        <w:t xml:space="preserve">On désigne sous le terme </w:t>
      </w:r>
      <w:r w:rsidRPr="001460EE">
        <w:rPr>
          <w:rFonts w:cstheme="minorHAnsi"/>
          <w:u w:val="single"/>
        </w:rPr>
        <w:t>Emploi-type</w:t>
      </w:r>
      <w:r w:rsidRPr="001460EE">
        <w:rPr>
          <w:rFonts w:cstheme="minorHAnsi"/>
        </w:rPr>
        <w:t>, le r</w:t>
      </w:r>
      <w:r w:rsidRPr="001460EE">
        <w:rPr>
          <w:rStyle w:val="txt1"/>
          <w:rFonts w:asciiTheme="minorHAnsi" w:hAnsiTheme="minorHAnsi" w:cstheme="minorHAnsi"/>
          <w:color w:val="auto"/>
          <w:sz w:val="22"/>
          <w:szCs w:val="22"/>
        </w:rPr>
        <w:t>egroupement sous un même intitulé de plusieurs postes actuels ayant une proximité de contenu et d'exigence de compétences.</w:t>
      </w:r>
    </w:p>
    <w:p w:rsidR="007563B4" w:rsidRPr="003340B6" w:rsidRDefault="007563B4" w:rsidP="007563B4">
      <w:pPr>
        <w:spacing w:after="0" w:line="240" w:lineRule="auto"/>
        <w:jc w:val="both"/>
        <w:rPr>
          <w:rFonts w:cstheme="minorHAnsi"/>
          <w:lang w:eastAsia="fr-FR"/>
        </w:rPr>
      </w:pPr>
      <w:r w:rsidRPr="003340B6">
        <w:rPr>
          <w:rFonts w:cstheme="minorHAnsi"/>
          <w:u w:val="single"/>
          <w:lang w:eastAsia="fr-FR"/>
        </w:rPr>
        <w:t>La compétence individuelle</w:t>
      </w:r>
      <w:r w:rsidRPr="003340B6">
        <w:rPr>
          <w:rFonts w:cstheme="minorHAnsi"/>
          <w:lang w:eastAsia="fr-FR"/>
        </w:rPr>
        <w:t xml:space="preserve"> est  le </w:t>
      </w:r>
      <w:r w:rsidR="008A13F2">
        <w:rPr>
          <w:rFonts w:eastAsia="Times New Roman" w:cstheme="minorHAnsi"/>
          <w:bCs/>
          <w:lang w:eastAsia="fr-FR"/>
        </w:rPr>
        <w:t>s</w:t>
      </w:r>
      <w:r w:rsidRPr="003340B6">
        <w:rPr>
          <w:rFonts w:eastAsia="Times New Roman" w:cstheme="minorHAnsi"/>
          <w:bCs/>
          <w:lang w:eastAsia="fr-FR"/>
        </w:rPr>
        <w:t xml:space="preserve">avoir-faire professionnel reconnu, observable en situation de travail. </w:t>
      </w:r>
    </w:p>
    <w:p w:rsidR="007563B4" w:rsidRPr="003340B6" w:rsidRDefault="007563B4" w:rsidP="007563B4">
      <w:pPr>
        <w:spacing w:after="0" w:line="240" w:lineRule="auto"/>
        <w:jc w:val="both"/>
        <w:rPr>
          <w:rFonts w:eastAsia="Times New Roman" w:cstheme="minorHAnsi"/>
          <w:lang w:eastAsia="fr-FR"/>
        </w:rPr>
      </w:pPr>
      <w:r w:rsidRPr="003340B6">
        <w:rPr>
          <w:rFonts w:eastAsia="Times New Roman" w:cstheme="minorHAnsi"/>
          <w:lang w:eastAsia="fr-FR"/>
        </w:rPr>
        <w:t xml:space="preserve">Derrière la simplicité de la définition, il faut bien identifier les caractéristiques principales de la compétence et leurs conséquences : </w:t>
      </w:r>
    </w:p>
    <w:p w:rsidR="007563B4" w:rsidRPr="003340B6" w:rsidRDefault="007563B4" w:rsidP="007563B4">
      <w:pPr>
        <w:numPr>
          <w:ilvl w:val="0"/>
          <w:numId w:val="1"/>
        </w:numPr>
        <w:spacing w:after="0" w:line="240" w:lineRule="auto"/>
        <w:jc w:val="both"/>
        <w:rPr>
          <w:rFonts w:eastAsia="Times New Roman" w:cstheme="minorHAnsi"/>
          <w:lang w:eastAsia="fr-FR"/>
        </w:rPr>
      </w:pPr>
      <w:r w:rsidRPr="003340B6">
        <w:rPr>
          <w:rFonts w:eastAsia="Times New Roman" w:cstheme="minorHAnsi"/>
          <w:lang w:eastAsia="fr-FR"/>
        </w:rPr>
        <w:t xml:space="preserve">Savoir-faire : la compétence se reconnaît à travers des actes professionnels, en situation de travail. La formation suivie, le diplôme, ne prouvent pas réellement la compétence. Ils en fournissent des éléments, qui ne deviendront actifs que dans un terrain favorable (environnement et organisation du travail, management, motivation individuelle, ..) et avec l'expérience. </w:t>
      </w:r>
    </w:p>
    <w:p w:rsidR="007563B4" w:rsidRPr="003340B6" w:rsidRDefault="007563B4" w:rsidP="007563B4">
      <w:pPr>
        <w:numPr>
          <w:ilvl w:val="0"/>
          <w:numId w:val="1"/>
        </w:numPr>
        <w:spacing w:after="0" w:line="240" w:lineRule="auto"/>
        <w:jc w:val="both"/>
        <w:rPr>
          <w:rFonts w:eastAsia="Times New Roman" w:cstheme="minorHAnsi"/>
          <w:lang w:eastAsia="fr-FR"/>
        </w:rPr>
      </w:pPr>
      <w:r w:rsidRPr="003340B6">
        <w:rPr>
          <w:rFonts w:eastAsia="Times New Roman" w:cstheme="minorHAnsi"/>
          <w:lang w:eastAsia="fr-FR"/>
        </w:rPr>
        <w:t xml:space="preserve">Deux salariés jugés également compétents peuvent avoir acquis cette compétence de manière très différente, avec des dosages différents d'expérience et de formation. Le développement des compétences doit être le plus individualisé possible, en tenant compte des modes d'apprentissage de chacun. </w:t>
      </w:r>
    </w:p>
    <w:p w:rsidR="007563B4" w:rsidRPr="003340B6" w:rsidRDefault="007563B4" w:rsidP="007563B4">
      <w:pPr>
        <w:numPr>
          <w:ilvl w:val="0"/>
          <w:numId w:val="1"/>
        </w:numPr>
        <w:spacing w:after="0" w:line="240" w:lineRule="auto"/>
        <w:jc w:val="both"/>
        <w:rPr>
          <w:rFonts w:eastAsia="Times New Roman" w:cstheme="minorHAnsi"/>
          <w:lang w:eastAsia="fr-FR"/>
        </w:rPr>
      </w:pPr>
      <w:r w:rsidRPr="003340B6">
        <w:rPr>
          <w:rFonts w:eastAsia="Times New Roman" w:cstheme="minorHAnsi"/>
          <w:lang w:eastAsia="fr-FR"/>
        </w:rPr>
        <w:t xml:space="preserve">Acte professionnel, la compétence se formule par des « verbes d'action ». Il ne s'agit pas de « connaître » ou de « savoir », mais de « faire ». </w:t>
      </w:r>
    </w:p>
    <w:p w:rsidR="007563B4" w:rsidRPr="003340B6" w:rsidRDefault="007563B4" w:rsidP="007563B4">
      <w:pPr>
        <w:numPr>
          <w:ilvl w:val="0"/>
          <w:numId w:val="1"/>
        </w:numPr>
        <w:spacing w:after="0" w:line="240" w:lineRule="auto"/>
        <w:jc w:val="both"/>
        <w:rPr>
          <w:rFonts w:eastAsia="Times New Roman" w:cstheme="minorHAnsi"/>
          <w:lang w:eastAsia="fr-FR"/>
        </w:rPr>
      </w:pPr>
      <w:r w:rsidRPr="003340B6">
        <w:rPr>
          <w:rFonts w:eastAsia="Times New Roman" w:cstheme="minorHAnsi"/>
          <w:lang w:eastAsia="fr-FR"/>
        </w:rPr>
        <w:t xml:space="preserve">L'évaluation de la compétence existe toujours implicitement : elle est faite par les collègues, l'encadrement, les clients, et par le salarié lui-même, qui connaît ses points forts et ses points faibles, etc. La gestion des compétences la rendra explicite (évaluation régulière, objectifs d'amélioration, ..). L'encadrement, qui est le seul à observer la compétence chaque jour « en situation », est le mieux placé pour dialoguer avec le salarié sur le sujet. </w:t>
      </w:r>
    </w:p>
    <w:p w:rsidR="007563B4" w:rsidRPr="003340B6" w:rsidRDefault="007563B4" w:rsidP="007563B4">
      <w:pPr>
        <w:numPr>
          <w:ilvl w:val="0"/>
          <w:numId w:val="1"/>
        </w:numPr>
        <w:spacing w:after="0" w:line="240" w:lineRule="auto"/>
        <w:jc w:val="both"/>
        <w:rPr>
          <w:rFonts w:eastAsia="Times New Roman" w:cstheme="minorHAnsi"/>
          <w:lang w:eastAsia="fr-FR"/>
        </w:rPr>
      </w:pPr>
      <w:r w:rsidRPr="003340B6">
        <w:rPr>
          <w:rFonts w:eastAsia="Times New Roman" w:cstheme="minorHAnsi"/>
          <w:lang w:eastAsia="fr-FR"/>
        </w:rPr>
        <w:t xml:space="preserve">La compétence individuelle est le savoir-faire opérationnel d'une personne occupant un emploi-type </w:t>
      </w:r>
    </w:p>
    <w:p w:rsidR="007563B4" w:rsidRPr="003340B6" w:rsidRDefault="007563B4" w:rsidP="007563B4">
      <w:pPr>
        <w:spacing w:after="0" w:line="240" w:lineRule="auto"/>
        <w:jc w:val="both"/>
        <w:rPr>
          <w:rFonts w:cstheme="minorHAnsi"/>
        </w:rPr>
      </w:pPr>
    </w:p>
    <w:p w:rsidR="007563B4" w:rsidRPr="003340B6" w:rsidRDefault="00B97279" w:rsidP="007563B4">
      <w:pPr>
        <w:spacing w:after="0" w:line="240" w:lineRule="auto"/>
        <w:jc w:val="right"/>
        <w:rPr>
          <w:rFonts w:cstheme="minorHAnsi"/>
        </w:rPr>
      </w:pPr>
      <w:hyperlink r:id="rId5" w:history="1">
        <w:r w:rsidR="007563B4" w:rsidRPr="003340B6">
          <w:rPr>
            <w:rStyle w:val="Lienhypertexte"/>
            <w:rFonts w:cstheme="minorHAnsi"/>
          </w:rPr>
          <w:t>www.webcompetence.com</w:t>
        </w:r>
      </w:hyperlink>
    </w:p>
    <w:p w:rsidR="007563B4" w:rsidRDefault="007563B4" w:rsidP="007563B4">
      <w:pPr>
        <w:spacing w:after="0" w:line="240" w:lineRule="auto"/>
        <w:jc w:val="both"/>
        <w:rPr>
          <w:rFonts w:cstheme="minorHAnsi"/>
        </w:rPr>
      </w:pPr>
    </w:p>
    <w:p w:rsidR="007563B4" w:rsidRPr="00525C40" w:rsidRDefault="007563B4" w:rsidP="007563B4">
      <w:pPr>
        <w:spacing w:after="0" w:line="240" w:lineRule="auto"/>
        <w:jc w:val="both"/>
        <w:rPr>
          <w:rFonts w:cstheme="minorHAnsi"/>
          <w:b/>
        </w:rPr>
      </w:pPr>
      <w:r w:rsidRPr="00525C40">
        <w:rPr>
          <w:rFonts w:cstheme="minorHAnsi"/>
          <w:b/>
        </w:rPr>
        <w:t xml:space="preserve">Ressource </w:t>
      </w:r>
      <w:r>
        <w:rPr>
          <w:rFonts w:cstheme="minorHAnsi"/>
          <w:b/>
        </w:rPr>
        <w:t>2 : Le métier et la formation de vigneron-viticulteur</w:t>
      </w:r>
    </w:p>
    <w:p w:rsidR="007563B4" w:rsidRDefault="007563B4" w:rsidP="007563B4">
      <w:pPr>
        <w:spacing w:after="0" w:line="240" w:lineRule="auto"/>
        <w:jc w:val="both"/>
        <w:rPr>
          <w:rFonts w:cstheme="minorHAnsi"/>
        </w:rPr>
      </w:pPr>
    </w:p>
    <w:p w:rsidR="007563B4" w:rsidRPr="00AB5B92" w:rsidRDefault="007563B4" w:rsidP="007563B4">
      <w:pPr>
        <w:spacing w:after="0" w:line="240" w:lineRule="auto"/>
        <w:jc w:val="both"/>
        <w:textAlignment w:val="center"/>
        <w:rPr>
          <w:rFonts w:eastAsia="Times New Roman" w:cstheme="minorHAnsi"/>
          <w:color w:val="000000"/>
          <w:lang w:eastAsia="fr-FR"/>
        </w:rPr>
      </w:pPr>
      <w:r w:rsidRPr="00AB5B92">
        <w:rPr>
          <w:rFonts w:eastAsia="Times New Roman" w:cstheme="minorHAnsi"/>
          <w:bCs/>
          <w:color w:val="000000"/>
          <w:lang w:eastAsia="fr-FR"/>
        </w:rPr>
        <w:t>Le viticulteur cultive la vigne dans le but de produire du vin et/ou du raisin de table. Il est selon les cas, ouvrier sur un domaine viticole, technicien de la vigne ou propriétaire exploitant. Parfois les trois à la fois. Cela dépend de la taille de l’exploitation.</w:t>
      </w:r>
    </w:p>
    <w:p w:rsidR="007563B4" w:rsidRPr="00AB5B92" w:rsidRDefault="007563B4" w:rsidP="007563B4">
      <w:pPr>
        <w:spacing w:after="0" w:line="240" w:lineRule="auto"/>
        <w:rPr>
          <w:rFonts w:eastAsia="Times New Roman" w:cstheme="minorHAnsi"/>
          <w:color w:val="000000"/>
          <w:lang w:eastAsia="fr-FR"/>
        </w:rPr>
      </w:pPr>
    </w:p>
    <w:p w:rsidR="007563B4" w:rsidRPr="00AB5B92" w:rsidRDefault="007563B4" w:rsidP="007563B4">
      <w:pPr>
        <w:spacing w:after="0" w:line="240" w:lineRule="auto"/>
        <w:jc w:val="both"/>
        <w:outlineLvl w:val="3"/>
        <w:rPr>
          <w:rFonts w:eastAsia="Times New Roman" w:cstheme="minorHAnsi"/>
          <w:b/>
          <w:bCs/>
          <w:i/>
          <w:color w:val="000000"/>
          <w:lang w:eastAsia="fr-FR"/>
        </w:rPr>
      </w:pPr>
      <w:r w:rsidRPr="00AB5B92">
        <w:rPr>
          <w:rFonts w:eastAsia="Times New Roman" w:cstheme="minorHAnsi"/>
          <w:b/>
          <w:bCs/>
          <w:i/>
          <w:color w:val="000000"/>
          <w:lang w:eastAsia="fr-FR"/>
        </w:rPr>
        <w:t>Description des tâches / conditions de travail</w:t>
      </w:r>
    </w:p>
    <w:p w:rsidR="007563B4" w:rsidRPr="00AB5B92"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xml:space="preserve">L’ouvrier viticole entretient le vignoble. Il laboure, met du fumier, de l’engrais et plante la vigne à la main ou avec une machine. Il palisse (attache les branches sur un support) ou lie la vigne sur un tuteur. Il la taille et brûle les sarments (les branches inutiles). Il sulfate et protège ainsi la vigne des maladies. Au moment de la récolte, il vendange à la main ou avec des machines et porte des hottes </w:t>
      </w:r>
      <w:r w:rsidRPr="00AB5B92">
        <w:rPr>
          <w:rFonts w:eastAsia="Times New Roman" w:cstheme="minorHAnsi"/>
          <w:color w:val="000000"/>
          <w:lang w:eastAsia="fr-FR"/>
        </w:rPr>
        <w:lastRenderedPageBreak/>
        <w:t xml:space="preserve">chargées de raisin. Il participe au tri et au conditionnement de la récolte. Il conduit le tracteur, assure l’entretien et les petites réparations du matériel. </w:t>
      </w:r>
    </w:p>
    <w:p w:rsidR="007563B4" w:rsidRPr="00AB5B92"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xml:space="preserve">L’ouvrier viticole peut participer à la fabrication du vin. Il pressure ou foule le raisin, vinifie (traite les moûts – le jus – pour en faire du vin), chaptalise (ajoute du sucre) et surveille les fermentations qui produisent l’alcool à partir du sucre. Il soutire le vin (le transvase pour éliminer les dépôts), le met dans des fûts et plus tard en bouteilles. Il doit posséder des notions de pédologie, connaissance des sols et de la climatologie. </w:t>
      </w:r>
    </w:p>
    <w:p w:rsidR="007563B4" w:rsidRPr="00AB5B92"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xml:space="preserve">S’il est propriétaire, il doit avoir de solides connaissances professionnelles. Il doit gérer sa vigne dans le respect de la réglementation générale mais aussi spécifique à l’appellation à laquelle son vin peut prétendre. S’il fait partie d’une coopérative regroupant plusieurs exploitants, il doit se mettre d’accord avec eux pour adopter une même stratégie de production et de vente. </w:t>
      </w:r>
    </w:p>
    <w:p w:rsidR="007563B4" w:rsidRDefault="007563B4" w:rsidP="007563B4">
      <w:pPr>
        <w:spacing w:after="0" w:line="240" w:lineRule="auto"/>
        <w:jc w:val="both"/>
        <w:outlineLvl w:val="3"/>
        <w:rPr>
          <w:rFonts w:eastAsia="Times New Roman" w:cstheme="minorHAnsi"/>
          <w:b/>
          <w:bCs/>
          <w:color w:val="000000"/>
          <w:lang w:eastAsia="fr-FR"/>
        </w:rPr>
      </w:pPr>
    </w:p>
    <w:p w:rsidR="007563B4" w:rsidRPr="00AB5B92" w:rsidRDefault="007563B4" w:rsidP="007563B4">
      <w:pPr>
        <w:spacing w:after="0" w:line="240" w:lineRule="auto"/>
        <w:jc w:val="both"/>
        <w:outlineLvl w:val="3"/>
        <w:rPr>
          <w:rFonts w:eastAsia="Times New Roman" w:cstheme="minorHAnsi"/>
          <w:b/>
          <w:bCs/>
          <w:i/>
          <w:color w:val="000000"/>
          <w:lang w:eastAsia="fr-FR"/>
        </w:rPr>
      </w:pPr>
      <w:r w:rsidRPr="00AB5B92">
        <w:rPr>
          <w:rFonts w:eastAsia="Times New Roman" w:cstheme="minorHAnsi"/>
          <w:b/>
          <w:bCs/>
          <w:i/>
          <w:color w:val="000000"/>
          <w:lang w:eastAsia="fr-FR"/>
        </w:rPr>
        <w:t>Etudes / formations</w:t>
      </w:r>
    </w:p>
    <w:p w:rsidR="007563B4"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Il existe plusieurs formations professionnelles adaptées aux métiers de la vigne. Elles préparent aux diplômes suivants :</w:t>
      </w:r>
    </w:p>
    <w:p w:rsidR="007563B4"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CAPA vigne et vin,</w:t>
      </w:r>
    </w:p>
    <w:p w:rsidR="007563B4"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xml:space="preserve">- Bac pro conduite et gestion de l’exploitation agricole, spécialité vigne et vin, </w:t>
      </w:r>
    </w:p>
    <w:p w:rsidR="007563B4"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Bac pro technicien conseil vente et</w:t>
      </w:r>
      <w:r>
        <w:rPr>
          <w:rFonts w:eastAsia="Times New Roman" w:cstheme="minorHAnsi"/>
          <w:color w:val="000000"/>
          <w:lang w:eastAsia="fr-FR"/>
        </w:rPr>
        <w:t xml:space="preserve"> </w:t>
      </w:r>
      <w:r w:rsidRPr="00AB5B92">
        <w:rPr>
          <w:rFonts w:eastAsia="Times New Roman" w:cstheme="minorHAnsi"/>
          <w:color w:val="000000"/>
          <w:lang w:eastAsia="fr-FR"/>
        </w:rPr>
        <w:t xml:space="preserve"> alimentation option vins et spiritueux,</w:t>
      </w:r>
    </w:p>
    <w:p w:rsidR="007563B4"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BTSA techniques commerciales, boissons, vins et spiritueux,</w:t>
      </w:r>
    </w:p>
    <w:p w:rsidR="007563B4" w:rsidRDefault="007563B4" w:rsidP="007563B4">
      <w:pPr>
        <w:spacing w:after="0" w:line="240" w:lineRule="auto"/>
        <w:jc w:val="both"/>
        <w:rPr>
          <w:rFonts w:eastAsia="Times New Roman" w:cstheme="minorHAnsi"/>
          <w:color w:val="000000"/>
          <w:lang w:eastAsia="fr-FR"/>
        </w:rPr>
      </w:pPr>
      <w:r w:rsidRPr="00AB5B92">
        <w:rPr>
          <w:rFonts w:eastAsia="Times New Roman" w:cstheme="minorHAnsi"/>
          <w:color w:val="000000"/>
          <w:lang w:eastAsia="fr-FR"/>
        </w:rPr>
        <w:t>- BTSA viticulture-œnologie.</w:t>
      </w:r>
    </w:p>
    <w:p w:rsidR="007563B4" w:rsidRDefault="007563B4" w:rsidP="007563B4">
      <w:pPr>
        <w:spacing w:after="0" w:line="240" w:lineRule="auto"/>
        <w:jc w:val="right"/>
        <w:rPr>
          <w:rFonts w:cstheme="minorHAnsi"/>
        </w:rPr>
      </w:pPr>
      <w:r>
        <w:rPr>
          <w:rFonts w:cstheme="minorHAnsi"/>
        </w:rPr>
        <w:t xml:space="preserve"> </w:t>
      </w:r>
      <w:hyperlink r:id="rId6" w:history="1">
        <w:r w:rsidRPr="00F15468">
          <w:rPr>
            <w:rStyle w:val="Lienhypertexte"/>
            <w:rFonts w:cstheme="minorHAnsi"/>
          </w:rPr>
          <w:t>www.cidj.com</w:t>
        </w:r>
      </w:hyperlink>
    </w:p>
    <w:p w:rsidR="007563B4" w:rsidRDefault="007563B4" w:rsidP="007563B4">
      <w:pPr>
        <w:spacing w:after="0" w:line="240" w:lineRule="auto"/>
        <w:jc w:val="both"/>
        <w:rPr>
          <w:rFonts w:cstheme="minorHAnsi"/>
        </w:rPr>
      </w:pPr>
    </w:p>
    <w:p w:rsidR="007563B4" w:rsidRDefault="007563B4" w:rsidP="007563B4">
      <w:pPr>
        <w:spacing w:after="0" w:line="240" w:lineRule="auto"/>
        <w:jc w:val="both"/>
        <w:rPr>
          <w:rFonts w:cstheme="minorHAnsi"/>
          <w:b/>
          <w:i/>
        </w:rPr>
      </w:pPr>
      <w:r w:rsidRPr="000A27C1">
        <w:rPr>
          <w:rFonts w:cstheme="minorHAnsi"/>
          <w:b/>
          <w:i/>
        </w:rPr>
        <w:t xml:space="preserve">BTS Viticulture </w:t>
      </w:r>
      <w:r>
        <w:rPr>
          <w:rFonts w:cstheme="minorHAnsi"/>
          <w:b/>
          <w:i/>
        </w:rPr>
        <w:t>Œnologie</w:t>
      </w:r>
    </w:p>
    <w:p w:rsidR="007563B4" w:rsidRPr="000A27C1" w:rsidRDefault="007563B4" w:rsidP="007563B4">
      <w:pPr>
        <w:spacing w:after="0" w:line="240" w:lineRule="auto"/>
        <w:jc w:val="both"/>
        <w:rPr>
          <w:rFonts w:cstheme="minorHAnsi"/>
          <w:b/>
          <w:i/>
        </w:rPr>
      </w:pPr>
    </w:p>
    <w:p w:rsidR="007563B4" w:rsidRPr="0065026D" w:rsidRDefault="007563B4" w:rsidP="007563B4">
      <w:pPr>
        <w:spacing w:after="0" w:line="240" w:lineRule="auto"/>
        <w:jc w:val="both"/>
        <w:rPr>
          <w:rFonts w:cstheme="minorHAnsi"/>
          <w:color w:val="000000" w:themeColor="text1"/>
        </w:rPr>
      </w:pPr>
      <w:r w:rsidRPr="0065026D">
        <w:rPr>
          <w:rFonts w:cstheme="minorHAnsi"/>
          <w:color w:val="000000" w:themeColor="text1"/>
        </w:rPr>
        <w:t xml:space="preserve">Le titulaire de ce BTSA peut assurer soit des fonctions de production de raisins de cuve ou de raisins de table, de bois et plants de vigne lorsqu’il est responsable de cultures, soit des fonctions de transformation telles que la vinification et l’élevage des vins ou la mise en bouteilles lorsqu’il est responsable de chais ou de cave. </w:t>
      </w:r>
    </w:p>
    <w:p w:rsidR="007563B4" w:rsidRPr="0065026D" w:rsidRDefault="007563B4" w:rsidP="007563B4">
      <w:pPr>
        <w:spacing w:after="0" w:line="240" w:lineRule="auto"/>
        <w:jc w:val="both"/>
        <w:rPr>
          <w:rFonts w:cstheme="minorHAnsi"/>
          <w:color w:val="000000" w:themeColor="text1"/>
        </w:rPr>
      </w:pPr>
      <w:r w:rsidRPr="0065026D">
        <w:rPr>
          <w:rFonts w:cstheme="minorHAnsi"/>
          <w:color w:val="000000" w:themeColor="text1"/>
        </w:rPr>
        <w:br/>
        <w:t xml:space="preserve">Il peut aussi, dans certaines situations cumuler l’ensemble de ces fonctions. </w:t>
      </w:r>
      <w:r w:rsidRPr="0065026D">
        <w:rPr>
          <w:rFonts w:cstheme="minorHAnsi"/>
          <w:color w:val="000000" w:themeColor="text1"/>
        </w:rPr>
        <w:br/>
        <w:t>Dans les entreprises vitivinicoles, il exerce principalement son activité comme exploitant ou salarié. Il assure aussi des fonctions complémentaires de gestion et de commercialisation, notamment s’il est responsable d’une entreprise.</w:t>
      </w:r>
    </w:p>
    <w:p w:rsidR="007563B4" w:rsidRPr="0065026D" w:rsidRDefault="007563B4" w:rsidP="007563B4">
      <w:pPr>
        <w:spacing w:after="0" w:line="240" w:lineRule="auto"/>
        <w:jc w:val="both"/>
        <w:rPr>
          <w:rFonts w:cstheme="minorHAnsi"/>
          <w:color w:val="000000" w:themeColor="text1"/>
        </w:rPr>
      </w:pPr>
      <w:r w:rsidRPr="0065026D">
        <w:rPr>
          <w:rFonts w:cstheme="minorHAnsi"/>
          <w:color w:val="000000" w:themeColor="text1"/>
        </w:rPr>
        <w:br/>
        <w:t xml:space="preserve">Il peut aussi assurer des fonctions d’expérimentation, de conseil, de développement, d’expertise, d’évaluation et de gestion administrative au sein d’un organisme professionnel public ou privé. </w:t>
      </w:r>
      <w:r w:rsidRPr="0065026D">
        <w:rPr>
          <w:rFonts w:cstheme="minorHAnsi"/>
          <w:color w:val="000000" w:themeColor="text1"/>
        </w:rPr>
        <w:br/>
      </w:r>
      <w:r w:rsidRPr="0065026D">
        <w:rPr>
          <w:rFonts w:cstheme="minorHAnsi"/>
          <w:color w:val="000000" w:themeColor="text1"/>
        </w:rPr>
        <w:br/>
        <w:t>Son degré de responsabilité et d’autonomie est variable selon la nature et la taille de l’organisme-employeur. De plus, avec l’expérience professionnelle acquise à l’issue de la formation initiale, les carrières peuvent évoluer jusqu’à des emplois à hautes responsabilités.</w:t>
      </w:r>
    </w:p>
    <w:p w:rsidR="007563B4" w:rsidRPr="003340B6" w:rsidRDefault="00B97279" w:rsidP="007563B4">
      <w:pPr>
        <w:spacing w:after="0" w:line="240" w:lineRule="auto"/>
        <w:jc w:val="right"/>
        <w:rPr>
          <w:rStyle w:val="CitationHTML"/>
          <w:rFonts w:cstheme="minorHAnsi"/>
        </w:rPr>
      </w:pPr>
      <w:hyperlink r:id="rId7" w:history="1">
        <w:r w:rsidR="007563B4" w:rsidRPr="003340B6">
          <w:rPr>
            <w:rStyle w:val="Lienhypertexte"/>
            <w:rFonts w:cstheme="minorHAnsi"/>
          </w:rPr>
          <w:t>www.letudiant.fr/</w:t>
        </w:r>
      </w:hyperlink>
    </w:p>
    <w:p w:rsidR="007563B4" w:rsidRDefault="007563B4" w:rsidP="007563B4">
      <w:pPr>
        <w:spacing w:after="0" w:line="240" w:lineRule="auto"/>
        <w:jc w:val="both"/>
        <w:rPr>
          <w:rFonts w:cstheme="minorHAnsi"/>
        </w:rPr>
      </w:pPr>
    </w:p>
    <w:p w:rsidR="007563B4" w:rsidRDefault="007563B4"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8A13F2" w:rsidRDefault="008A13F2" w:rsidP="007563B4">
      <w:pPr>
        <w:spacing w:after="0" w:line="240" w:lineRule="auto"/>
        <w:jc w:val="both"/>
        <w:rPr>
          <w:rFonts w:cstheme="minorHAnsi"/>
        </w:rPr>
      </w:pPr>
    </w:p>
    <w:p w:rsidR="007563B4" w:rsidRPr="002C6233" w:rsidRDefault="007563B4" w:rsidP="007563B4">
      <w:pPr>
        <w:spacing w:after="0" w:line="240" w:lineRule="auto"/>
        <w:jc w:val="both"/>
        <w:rPr>
          <w:rFonts w:cstheme="minorHAnsi"/>
          <w:b/>
        </w:rPr>
      </w:pPr>
      <w:r w:rsidRPr="003340B6">
        <w:rPr>
          <w:rFonts w:cstheme="minorHAnsi"/>
          <w:b/>
        </w:rPr>
        <w:lastRenderedPageBreak/>
        <w:t>R</w:t>
      </w:r>
      <w:r>
        <w:rPr>
          <w:rFonts w:cstheme="minorHAnsi"/>
          <w:b/>
        </w:rPr>
        <w:t>e</w:t>
      </w:r>
      <w:r w:rsidRPr="003340B6">
        <w:rPr>
          <w:rFonts w:cstheme="minorHAnsi"/>
          <w:b/>
        </w:rPr>
        <w:t xml:space="preserve">ssource </w:t>
      </w:r>
      <w:r>
        <w:rPr>
          <w:rFonts w:cstheme="minorHAnsi"/>
          <w:b/>
        </w:rPr>
        <w:t>3</w:t>
      </w:r>
      <w:r w:rsidRPr="003340B6">
        <w:rPr>
          <w:rFonts w:cstheme="minorHAnsi"/>
          <w:b/>
        </w:rPr>
        <w:t> : La Gestion Prévisionnelle de l’Emploi et des Compétences</w:t>
      </w:r>
    </w:p>
    <w:p w:rsidR="007563B4" w:rsidRPr="00340F65" w:rsidRDefault="00886195" w:rsidP="007563B4">
      <w:pPr>
        <w:spacing w:after="0" w:line="240" w:lineRule="auto"/>
        <w:jc w:val="both"/>
        <w:rPr>
          <w:rFonts w:cstheme="minorHAnsi"/>
        </w:rPr>
      </w:pPr>
      <w:r w:rsidRPr="003340B6">
        <w:rPr>
          <w:rFonts w:cstheme="minorHAnsi"/>
        </w:rPr>
        <w:object w:dxaOrig="7202" w:dyaOrig="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13.8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PowerPoint.Template.12" ShapeID="_x0000_i1025" DrawAspect="Content" ObjectID="_1353663437" r:id="rId9"/>
        </w:object>
      </w:r>
    </w:p>
    <w:p w:rsidR="007563B4" w:rsidRDefault="007563B4" w:rsidP="007563B4">
      <w:pPr>
        <w:pStyle w:val="Corpsdetexte"/>
        <w:rPr>
          <w:rFonts w:asciiTheme="minorHAnsi" w:hAnsiTheme="minorHAnsi"/>
          <w:sz w:val="22"/>
          <w:szCs w:val="22"/>
        </w:rPr>
      </w:pPr>
    </w:p>
    <w:p w:rsidR="007563B4" w:rsidRPr="003340B6" w:rsidRDefault="007563B4" w:rsidP="007563B4">
      <w:pPr>
        <w:pStyle w:val="Corpsdetexte"/>
        <w:rPr>
          <w:rFonts w:asciiTheme="minorHAnsi" w:hAnsiTheme="minorHAnsi"/>
          <w:sz w:val="22"/>
          <w:szCs w:val="22"/>
        </w:rPr>
      </w:pPr>
      <w:r w:rsidRPr="003340B6">
        <w:rPr>
          <w:rFonts w:asciiTheme="minorHAnsi" w:hAnsiTheme="minorHAnsi"/>
          <w:sz w:val="22"/>
          <w:szCs w:val="22"/>
        </w:rPr>
        <w:t>La démarche générale d’implantation de la GPEC se découpe en 7 grandes étapes que l’on peut résumer ainsi :</w:t>
      </w:r>
    </w:p>
    <w:p w:rsidR="007563B4" w:rsidRPr="003340B6" w:rsidRDefault="007563B4" w:rsidP="007563B4">
      <w:pPr>
        <w:numPr>
          <w:ilvl w:val="0"/>
          <w:numId w:val="2"/>
        </w:numPr>
        <w:spacing w:after="0" w:line="240" w:lineRule="auto"/>
        <w:jc w:val="both"/>
        <w:rPr>
          <w:rFonts w:eastAsia="Calibri" w:cs="Times New Roman"/>
        </w:rPr>
      </w:pPr>
      <w:r w:rsidRPr="003340B6">
        <w:rPr>
          <w:rFonts w:eastAsia="Calibri" w:cs="Times New Roman"/>
        </w:rPr>
        <w:t>Faire un état des lieux des ressources humaines existantes : il s’agit de définir précisément les missions remplies par les salariés, les compétences qu’ils mobilisent, la place qu’ils occupent dans la structure organisationnelle. Loin d’un simple recensement quantitatif, cette première étape relativement lourde à mettre en œuvre est avant tout une étape qualitative.</w:t>
      </w:r>
    </w:p>
    <w:p w:rsidR="007563B4" w:rsidRPr="003340B6" w:rsidRDefault="007563B4" w:rsidP="007563B4">
      <w:pPr>
        <w:numPr>
          <w:ilvl w:val="0"/>
          <w:numId w:val="2"/>
        </w:numPr>
        <w:spacing w:after="0" w:line="240" w:lineRule="auto"/>
        <w:jc w:val="both"/>
        <w:rPr>
          <w:rFonts w:eastAsia="Calibri" w:cs="Times New Roman"/>
        </w:rPr>
      </w:pPr>
      <w:r w:rsidRPr="003340B6">
        <w:rPr>
          <w:rFonts w:eastAsia="Calibri" w:cs="Times New Roman"/>
        </w:rPr>
        <w:t>Effectuer une projection des ressources disponibles : en complément de la première approche, on intègre ici l’évolution probable des ressources définies à la première étape (évolution de carrière, promotions prévisibles, départ à la retraite, démissions, recrutements).</w:t>
      </w:r>
    </w:p>
    <w:p w:rsidR="007563B4" w:rsidRPr="003340B6" w:rsidRDefault="007563B4" w:rsidP="007563B4">
      <w:pPr>
        <w:numPr>
          <w:ilvl w:val="0"/>
          <w:numId w:val="2"/>
        </w:numPr>
        <w:spacing w:after="0" w:line="240" w:lineRule="auto"/>
        <w:jc w:val="both"/>
        <w:rPr>
          <w:rFonts w:eastAsia="Calibri" w:cs="Times New Roman"/>
        </w:rPr>
      </w:pPr>
      <w:r w:rsidRPr="003340B6">
        <w:rPr>
          <w:rFonts w:eastAsia="Calibri" w:cs="Times New Roman"/>
        </w:rPr>
        <w:t xml:space="preserve">Définir les évolutions prévisibles : ces évolutions concernent l’environnement technologique, concurrentiel, réglementaire, </w:t>
      </w:r>
      <w:r w:rsidR="008A13F2" w:rsidRPr="003340B6">
        <w:rPr>
          <w:rFonts w:eastAsia="Calibri" w:cs="Times New Roman"/>
        </w:rPr>
        <w:t>socioculturel</w:t>
      </w:r>
      <w:r w:rsidRPr="003340B6">
        <w:rPr>
          <w:rFonts w:eastAsia="Calibri" w:cs="Times New Roman"/>
        </w:rPr>
        <w:t xml:space="preserve"> de l’organisation. Parmi ces évolutions</w:t>
      </w:r>
      <w:r w:rsidR="008A13F2">
        <w:rPr>
          <w:rFonts w:eastAsia="Calibri" w:cs="Times New Roman"/>
        </w:rPr>
        <w:t>,</w:t>
      </w:r>
      <w:r w:rsidRPr="003340B6">
        <w:rPr>
          <w:rFonts w:eastAsia="Calibri" w:cs="Times New Roman"/>
        </w:rPr>
        <w:t xml:space="preserve"> quelle sera la place de l’organisation, ces évolutions entraînent-elles des changements pour l’organisation? Quels changements devront être mis en œuvre pour conserver un avantage concurrentiel durable (ou pour remplir au mieux sa mission s’il s’agit d’une organisation publique) ?</w:t>
      </w:r>
    </w:p>
    <w:p w:rsidR="007563B4" w:rsidRPr="003340B6" w:rsidRDefault="007563B4" w:rsidP="007563B4">
      <w:pPr>
        <w:pStyle w:val="Corpsdetexte"/>
        <w:numPr>
          <w:ilvl w:val="0"/>
          <w:numId w:val="2"/>
        </w:numPr>
        <w:rPr>
          <w:rFonts w:asciiTheme="minorHAnsi" w:hAnsiTheme="minorHAnsi"/>
          <w:sz w:val="22"/>
          <w:szCs w:val="22"/>
        </w:rPr>
      </w:pPr>
      <w:r w:rsidRPr="003340B6">
        <w:rPr>
          <w:rFonts w:asciiTheme="minorHAnsi" w:hAnsiTheme="minorHAnsi"/>
          <w:sz w:val="22"/>
          <w:szCs w:val="22"/>
        </w:rPr>
        <w:t>Définition des besoins futurs en emplois et compétences : à partir des scénarii d’évolution possible</w:t>
      </w:r>
      <w:r w:rsidR="008A13F2">
        <w:rPr>
          <w:rFonts w:asciiTheme="minorHAnsi" w:hAnsiTheme="minorHAnsi"/>
          <w:sz w:val="22"/>
          <w:szCs w:val="22"/>
        </w:rPr>
        <w:t>,</w:t>
      </w:r>
      <w:r w:rsidRPr="003340B6">
        <w:rPr>
          <w:rFonts w:asciiTheme="minorHAnsi" w:hAnsiTheme="minorHAnsi"/>
          <w:sz w:val="22"/>
          <w:szCs w:val="22"/>
        </w:rPr>
        <w:t xml:space="preserve"> il s’agit ici d’identifier les conséquences en termes d’emplois tant du point de vue quantitatif (combien de recrutements seront-ils nécessaires ?) que d’un point de vue qualitatif (quelles nouvelles compétences ?).</w:t>
      </w:r>
    </w:p>
    <w:p w:rsidR="007563B4" w:rsidRPr="003340B6" w:rsidRDefault="007563B4" w:rsidP="007563B4">
      <w:pPr>
        <w:pStyle w:val="Corpsdetexte"/>
        <w:numPr>
          <w:ilvl w:val="0"/>
          <w:numId w:val="2"/>
        </w:numPr>
        <w:rPr>
          <w:rFonts w:asciiTheme="minorHAnsi" w:hAnsiTheme="minorHAnsi"/>
          <w:sz w:val="22"/>
          <w:szCs w:val="22"/>
        </w:rPr>
      </w:pPr>
      <w:r w:rsidRPr="003340B6">
        <w:rPr>
          <w:rFonts w:asciiTheme="minorHAnsi" w:hAnsiTheme="minorHAnsi"/>
          <w:sz w:val="22"/>
          <w:szCs w:val="22"/>
        </w:rPr>
        <w:t>L’analyse des écarts entre les besoins et les ressources futurs : cette étape assimilable à une démarche de contrôle de gestion met en lumière les différences quantitatives et qualitatives entre les résultats de la projection des ressources disponibles et les besoins futurs.</w:t>
      </w:r>
    </w:p>
    <w:p w:rsidR="007563B4" w:rsidRPr="003340B6" w:rsidRDefault="007563B4" w:rsidP="007563B4">
      <w:pPr>
        <w:pStyle w:val="Corpsdetexte"/>
        <w:numPr>
          <w:ilvl w:val="0"/>
          <w:numId w:val="2"/>
        </w:numPr>
        <w:rPr>
          <w:rFonts w:asciiTheme="minorHAnsi" w:hAnsiTheme="minorHAnsi"/>
          <w:sz w:val="22"/>
          <w:szCs w:val="22"/>
        </w:rPr>
      </w:pPr>
      <w:r w:rsidRPr="003340B6">
        <w:rPr>
          <w:rFonts w:asciiTheme="minorHAnsi" w:hAnsiTheme="minorHAnsi"/>
          <w:sz w:val="22"/>
          <w:szCs w:val="22"/>
        </w:rPr>
        <w:t>Définition d’un plan d’action pour réduire ou annuler les écarts constatés.</w:t>
      </w:r>
    </w:p>
    <w:p w:rsidR="007563B4" w:rsidRPr="003340B6" w:rsidRDefault="007563B4" w:rsidP="007563B4">
      <w:pPr>
        <w:pStyle w:val="Corpsdetexte"/>
        <w:numPr>
          <w:ilvl w:val="0"/>
          <w:numId w:val="2"/>
        </w:numPr>
        <w:rPr>
          <w:rFonts w:asciiTheme="minorHAnsi" w:hAnsiTheme="minorHAnsi"/>
          <w:sz w:val="22"/>
          <w:szCs w:val="22"/>
        </w:rPr>
      </w:pPr>
      <w:r w:rsidRPr="003340B6">
        <w:rPr>
          <w:rFonts w:asciiTheme="minorHAnsi" w:hAnsiTheme="minorHAnsi"/>
          <w:sz w:val="22"/>
          <w:szCs w:val="22"/>
        </w:rPr>
        <w:t>Mise en place des indicateurs et des procédures de contrôle des actions entreprises.</w:t>
      </w:r>
    </w:p>
    <w:p w:rsidR="007563B4" w:rsidRDefault="007563B4" w:rsidP="007563B4">
      <w:pPr>
        <w:spacing w:after="0" w:line="240" w:lineRule="auto"/>
        <w:jc w:val="both"/>
      </w:pPr>
    </w:p>
    <w:p w:rsidR="007563B4" w:rsidRPr="00886195" w:rsidRDefault="007563B4" w:rsidP="00886195">
      <w:pPr>
        <w:spacing w:after="0" w:line="240" w:lineRule="auto"/>
        <w:jc w:val="right"/>
      </w:pPr>
      <w:r>
        <w:lastRenderedPageBreak/>
        <w:t>D’après : fiche notionnelle CRCOM</w:t>
      </w:r>
    </w:p>
    <w:p w:rsidR="007563B4" w:rsidRPr="003340B6" w:rsidRDefault="007563B4" w:rsidP="007563B4">
      <w:pPr>
        <w:spacing w:after="0" w:line="240" w:lineRule="auto"/>
        <w:jc w:val="both"/>
        <w:rPr>
          <w:rFonts w:cstheme="minorHAnsi"/>
          <w:b/>
        </w:rPr>
      </w:pPr>
      <w:r w:rsidRPr="003340B6">
        <w:rPr>
          <w:rFonts w:cstheme="minorHAnsi"/>
          <w:b/>
        </w:rPr>
        <w:t xml:space="preserve">Ressource </w:t>
      </w:r>
      <w:r>
        <w:rPr>
          <w:rFonts w:cstheme="minorHAnsi"/>
          <w:b/>
        </w:rPr>
        <w:t>4</w:t>
      </w:r>
      <w:r w:rsidRPr="003340B6">
        <w:rPr>
          <w:rFonts w:cstheme="minorHAnsi"/>
          <w:b/>
        </w:rPr>
        <w:t> : Les enjeux de la démarche compétence</w:t>
      </w:r>
    </w:p>
    <w:p w:rsidR="007563B4" w:rsidRPr="003340B6" w:rsidRDefault="007563B4" w:rsidP="007563B4">
      <w:pPr>
        <w:spacing w:after="0" w:line="240" w:lineRule="auto"/>
        <w:jc w:val="both"/>
        <w:rPr>
          <w:rFonts w:cstheme="minorHAnsi"/>
        </w:rPr>
      </w:pPr>
    </w:p>
    <w:p w:rsidR="007563B4" w:rsidRPr="003340B6" w:rsidRDefault="007563B4" w:rsidP="007563B4">
      <w:pPr>
        <w:spacing w:after="0" w:line="240" w:lineRule="auto"/>
        <w:jc w:val="both"/>
        <w:rPr>
          <w:rFonts w:cstheme="minorHAnsi"/>
        </w:rPr>
      </w:pPr>
      <w:r w:rsidRPr="003340B6">
        <w:rPr>
          <w:rFonts w:cstheme="minorHAnsi"/>
        </w:rPr>
        <w:t xml:space="preserve">Guérin Systems, leader français dans le secteur des équipements automatisés pour les industries agro-alimentaires et plastiques, a lancé une démarche compétence en septembre 2004, sur la demande de la direction générale. </w:t>
      </w:r>
    </w:p>
    <w:p w:rsidR="007563B4" w:rsidRPr="003340B6" w:rsidRDefault="007563B4" w:rsidP="007563B4">
      <w:pPr>
        <w:spacing w:after="0" w:line="240" w:lineRule="auto"/>
        <w:jc w:val="both"/>
        <w:rPr>
          <w:rFonts w:cstheme="minorHAnsi"/>
        </w:rPr>
      </w:pPr>
      <w:r w:rsidRPr="003340B6">
        <w:rPr>
          <w:rFonts w:cstheme="minorHAnsi"/>
        </w:rPr>
        <w:t>L’action a été pilotée par la direction générale et la GRH mais développée par les salariés et leurs managers. Des groupes de projets composés de 3 à 5 personnes managers et salariés, se sont constitués dans tous les services pour élaborer des fiches emplois-métiers décrivant l’emploi et les compétences requises. Ces fiches servent de support à l’entretien annuel. Elles constituent un outil important pour déterminer les formations à suivre.</w:t>
      </w:r>
    </w:p>
    <w:p w:rsidR="007563B4" w:rsidRPr="003340B6" w:rsidRDefault="007563B4" w:rsidP="007563B4">
      <w:pPr>
        <w:spacing w:after="0" w:line="240" w:lineRule="auto"/>
        <w:jc w:val="both"/>
        <w:rPr>
          <w:rFonts w:cstheme="minorHAnsi"/>
        </w:rPr>
      </w:pPr>
      <w:r w:rsidRPr="003340B6">
        <w:rPr>
          <w:rFonts w:cstheme="minorHAnsi"/>
        </w:rPr>
        <w:t>La démarche compétence a permis d’identifier des parcours professionnels, notamment à l’international, le plus souvent par des changements de fonction car la PME présente un organigramme plat. Il y a eu ainsi, en 2006, six départs dans des bureaux ou filiales à l’étranger. Ces évolutions de carrière constituent un argument d’embauche et de fidélisation des jeunes ingénieurs.</w:t>
      </w:r>
    </w:p>
    <w:p w:rsidR="007563B4" w:rsidRPr="003340B6" w:rsidRDefault="007563B4" w:rsidP="007563B4">
      <w:pPr>
        <w:spacing w:after="0" w:line="240" w:lineRule="auto"/>
        <w:jc w:val="both"/>
        <w:rPr>
          <w:rFonts w:cstheme="minorHAnsi"/>
        </w:rPr>
      </w:pPr>
      <w:r w:rsidRPr="003340B6">
        <w:rPr>
          <w:rFonts w:cstheme="minorHAnsi"/>
        </w:rPr>
        <w:t xml:space="preserve">La transmission des savoirs a été formalisée. Transmis auparavant par voie orale, des savoirs sont désormais écrits dans un programme de formation interne que suivent les nouveaux embauchés. Cette mission d’écriture a été confiée à deux experts seniors qui sont également les tuteurs des jeunes ingénieurs débutant dans l’entreprise. </w:t>
      </w:r>
    </w:p>
    <w:p w:rsidR="007563B4" w:rsidRPr="003340B6" w:rsidRDefault="007563B4" w:rsidP="007563B4">
      <w:pPr>
        <w:spacing w:after="0" w:line="240" w:lineRule="auto"/>
        <w:jc w:val="both"/>
        <w:rPr>
          <w:rFonts w:cstheme="minorHAnsi"/>
        </w:rPr>
      </w:pPr>
    </w:p>
    <w:p w:rsidR="007563B4" w:rsidRPr="003340B6" w:rsidRDefault="007563B4" w:rsidP="007563B4">
      <w:pPr>
        <w:spacing w:after="0" w:line="240" w:lineRule="auto"/>
        <w:jc w:val="both"/>
        <w:rPr>
          <w:rFonts w:cstheme="minorHAnsi"/>
          <w:b/>
          <w:i/>
        </w:rPr>
      </w:pPr>
      <w:r w:rsidRPr="003340B6">
        <w:rPr>
          <w:rFonts w:cstheme="minorHAnsi"/>
          <w:b/>
          <w:i/>
        </w:rPr>
        <w:t>Entretien avec le dirigeant de l’entreprise</w:t>
      </w:r>
    </w:p>
    <w:p w:rsidR="007563B4" w:rsidRPr="003340B6" w:rsidRDefault="007563B4" w:rsidP="007563B4">
      <w:pPr>
        <w:spacing w:after="0" w:line="240" w:lineRule="auto"/>
        <w:jc w:val="both"/>
        <w:rPr>
          <w:rFonts w:cstheme="minorHAnsi"/>
        </w:rPr>
      </w:pPr>
    </w:p>
    <w:p w:rsidR="007563B4" w:rsidRPr="003340B6" w:rsidRDefault="007563B4" w:rsidP="007563B4">
      <w:pPr>
        <w:spacing w:after="0" w:line="240" w:lineRule="auto"/>
        <w:jc w:val="both"/>
        <w:rPr>
          <w:rFonts w:cstheme="minorHAnsi"/>
        </w:rPr>
      </w:pPr>
      <w:r w:rsidRPr="003340B6">
        <w:rPr>
          <w:rFonts w:cstheme="minorHAnsi"/>
        </w:rPr>
        <w:t>« J’ai voulu lancer cette démarche compétence parce qu’il est autant dans l’intérêt de l’entreprise que du salarié de se préoccuper du personnel, de fidéliser et de récompenser les talents.</w:t>
      </w:r>
    </w:p>
    <w:p w:rsidR="007563B4" w:rsidRPr="003340B6" w:rsidRDefault="007563B4" w:rsidP="007563B4">
      <w:pPr>
        <w:spacing w:after="0" w:line="240" w:lineRule="auto"/>
        <w:jc w:val="both"/>
        <w:rPr>
          <w:rFonts w:cstheme="minorHAnsi"/>
        </w:rPr>
      </w:pPr>
      <w:r w:rsidRPr="003340B6">
        <w:rPr>
          <w:rFonts w:cstheme="minorHAnsi"/>
        </w:rPr>
        <w:t>Une telle démarche nous oblige à faire un état des lieux, à travailler sur notre métier, et de relier cela ensuite aux objectifs et aux attentes de chacun. Elle permet de bien comprendre et rationaliser l’activité de la société. Elle permet aussi de situer les salariés, de prévoir les évolutions et de repérer ceux avec lesquels on souhaite avoir des relations à long terme et de leur proposer des parcours. Cela évite aux gens de se poser des questions sur leur avenir : le turn-over est un drame dans les PME confrontées à la pénurie de compétences.</w:t>
      </w:r>
    </w:p>
    <w:p w:rsidR="007563B4" w:rsidRDefault="007563B4" w:rsidP="007563B4">
      <w:pPr>
        <w:spacing w:after="0" w:line="240" w:lineRule="auto"/>
        <w:jc w:val="both"/>
        <w:rPr>
          <w:rFonts w:cstheme="minorHAnsi"/>
        </w:rPr>
      </w:pPr>
      <w:r w:rsidRPr="003340B6">
        <w:rPr>
          <w:rFonts w:cstheme="minorHAnsi"/>
        </w:rPr>
        <w:t>Dans le même esprit, la transmission des savoirs des seniors vers les jeunes est, pour moi, un enjeu capital, et pas si facile à mettre en place car le pouvoir passe encore par la rétention d’information … »</w:t>
      </w:r>
    </w:p>
    <w:p w:rsidR="007563B4" w:rsidRPr="003340B6" w:rsidRDefault="007563B4" w:rsidP="007563B4">
      <w:pPr>
        <w:spacing w:after="0" w:line="240" w:lineRule="auto"/>
        <w:jc w:val="both"/>
        <w:rPr>
          <w:rFonts w:cstheme="minorHAnsi"/>
        </w:rPr>
      </w:pPr>
    </w:p>
    <w:p w:rsidR="007563B4" w:rsidRPr="003340B6" w:rsidRDefault="00B97279" w:rsidP="007563B4">
      <w:pPr>
        <w:spacing w:after="0" w:line="240" w:lineRule="auto"/>
        <w:jc w:val="right"/>
        <w:rPr>
          <w:rFonts w:cstheme="minorHAnsi"/>
        </w:rPr>
      </w:pPr>
      <w:hyperlink r:id="rId10" w:history="1">
        <w:r w:rsidR="007563B4" w:rsidRPr="003340B6">
          <w:rPr>
            <w:rStyle w:val="Lienhypertexte"/>
            <w:rFonts w:cstheme="minorHAnsi"/>
          </w:rPr>
          <w:t>www.demarchecompetence.com</w:t>
        </w:r>
      </w:hyperlink>
    </w:p>
    <w:p w:rsidR="007563B4" w:rsidRPr="003340B6" w:rsidRDefault="007563B4" w:rsidP="007563B4">
      <w:pPr>
        <w:spacing w:after="0" w:line="240" w:lineRule="auto"/>
        <w:jc w:val="both"/>
      </w:pPr>
    </w:p>
    <w:p w:rsidR="007563B4" w:rsidRPr="003340B6" w:rsidRDefault="007563B4" w:rsidP="007563B4">
      <w:pPr>
        <w:spacing w:after="0" w:line="240" w:lineRule="auto"/>
        <w:jc w:val="both"/>
        <w:rPr>
          <w:rFonts w:cstheme="minorHAnsi"/>
          <w:b/>
        </w:rPr>
      </w:pPr>
      <w:r w:rsidRPr="003340B6">
        <w:rPr>
          <w:rFonts w:cstheme="minorHAnsi"/>
          <w:b/>
        </w:rPr>
        <w:t>Ressource </w:t>
      </w:r>
      <w:r>
        <w:rPr>
          <w:rFonts w:cstheme="minorHAnsi"/>
          <w:b/>
        </w:rPr>
        <w:t>5</w:t>
      </w:r>
      <w:r w:rsidRPr="003340B6">
        <w:rPr>
          <w:rFonts w:cstheme="minorHAnsi"/>
          <w:b/>
        </w:rPr>
        <w:t> : La flexibilité</w:t>
      </w:r>
    </w:p>
    <w:p w:rsidR="007563B4" w:rsidRPr="00AD5FAD" w:rsidRDefault="007563B4" w:rsidP="007563B4">
      <w:pPr>
        <w:spacing w:after="0" w:line="240" w:lineRule="auto"/>
        <w:jc w:val="both"/>
        <w:rPr>
          <w:rFonts w:cstheme="minorHAnsi"/>
        </w:rPr>
      </w:pP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Depuis plusieurs décades, les conditions dans lesquelles évoluent les entreprises ont connu de profondes mutations. Face à un environnement turbulent et imprévisible, l’entreprise se doit d’être flexible afin de satisfaire à la variété de la demande, au meilleur prix, avec un haut niveau de qualité. Les ressources humaines, aux cotés des systèmes de production, des technologies et des systèmes d’information, sont apparues très tôt comme l’une des dimensions clés de la flexibilité de l’entreprise.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De nombreuses typologies de la flexibilité des ressources humaines existent. Parmi celles-ci, (…) Bernard Brunhes (1989), par exemple, distingue 5 types de flexibilité du travail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externe quantitative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l’externalisation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interne quantitative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fonctionnelle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salariale.</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lastRenderedPageBreak/>
        <w:t>* La flexibilité quantitative externe permet « de faire fluctuer les effectifs de l’entreprise en fonction des besoins, en utilisant des contrats de travail de courte durée et en licenciant en tant que besoin ». Elle consiste donc à faire varier le nombre de salariés employés par l’entreprise.</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L’externalisation vise à reporter sur un tiers la qualité d’employeur. Elle « consiste à déplacer sur une autre entreprise le lien contractuel avec le travailleur »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quantitative interne consiste à faire varier la quantité d’heures travaillées pour un effectif donné. L’entreprise dispose d’un panel assez large de moyens permettant de diminuer ou d’augmenter le volume d’heures de travail des salariés. « La flexibilité quantitative interne peut être réalisée pour l’essentiel, par une variation de la durée effective du travail conduisant à moduler le temps de travail fourni dans les activités de production : variations collectives ou individuelles des horaires de travail, modulations saisonnières à partir d’un contrat portant sur une durée annuelle, temps partiel, travail intermittent, utilisation des temps disponibles pour la formation ou la maintenance, heures supplémentaires ».</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fonctionnelle repose sur la capacité des salariés à satisfaire à une diversité de demandes de travail – en termes de contenu. « Elle consiste, à quantité de travail donnée, à employer les travailleurs à des fonctions variables en fonction des besoins de la chaîne de production ou des fluctuations de la production ». La polyvalence des salariés, considérés individuellement ou collectivement, permet de faire face aux variations instantanées de faible ampleur par des changements d’affectation des salariés. Elle permet également de faire face aux variations dynamiques portant sur l’évolution des tâches et le contenu des emplois.</w:t>
      </w:r>
    </w:p>
    <w:p w:rsidR="007563B4" w:rsidRPr="00AD5FAD" w:rsidRDefault="007563B4" w:rsidP="007563B4">
      <w:pPr>
        <w:autoSpaceDE w:val="0"/>
        <w:autoSpaceDN w:val="0"/>
        <w:adjustRightInd w:val="0"/>
        <w:spacing w:after="0" w:line="240" w:lineRule="auto"/>
        <w:jc w:val="both"/>
        <w:rPr>
          <w:rFonts w:cstheme="minorHAnsi"/>
        </w:rPr>
      </w:pPr>
      <w:r w:rsidRPr="00AD5FAD">
        <w:rPr>
          <w:rFonts w:cstheme="minorHAnsi"/>
        </w:rPr>
        <w:t>* La flexibilité des rémunérations permet de faire varier à travers la rémunération des salariés, le coût de la masse salariale de l’entreprise. Elle « est conçue comme un moyen de répercuter sur les salaires les évolutions de chiffres d’affaire</w:t>
      </w:r>
      <w:r w:rsidR="008A13F2">
        <w:rPr>
          <w:rFonts w:cstheme="minorHAnsi"/>
        </w:rPr>
        <w:t>s</w:t>
      </w:r>
      <w:r w:rsidRPr="00AD5FAD">
        <w:rPr>
          <w:rFonts w:cstheme="minorHAnsi"/>
        </w:rPr>
        <w:t xml:space="preserve"> et de coûts de revient de l’entreprise en fonction des mouvements conjoncturels ».</w:t>
      </w:r>
    </w:p>
    <w:p w:rsidR="007563B4" w:rsidRPr="00AD5FAD" w:rsidRDefault="007563B4" w:rsidP="007563B4">
      <w:pPr>
        <w:autoSpaceDE w:val="0"/>
        <w:autoSpaceDN w:val="0"/>
        <w:adjustRightInd w:val="0"/>
        <w:spacing w:after="0" w:line="240" w:lineRule="auto"/>
        <w:jc w:val="both"/>
        <w:rPr>
          <w:rFonts w:cstheme="minorHAnsi"/>
        </w:rPr>
      </w:pPr>
    </w:p>
    <w:p w:rsidR="007563B4" w:rsidRPr="00AD5FAD" w:rsidRDefault="007563B4" w:rsidP="007563B4">
      <w:pPr>
        <w:autoSpaceDE w:val="0"/>
        <w:autoSpaceDN w:val="0"/>
        <w:adjustRightInd w:val="0"/>
        <w:spacing w:after="0" w:line="240" w:lineRule="auto"/>
        <w:jc w:val="right"/>
        <w:rPr>
          <w:rFonts w:cstheme="minorHAnsi"/>
        </w:rPr>
      </w:pPr>
      <w:r w:rsidRPr="00AD5FAD">
        <w:rPr>
          <w:rFonts w:cstheme="minorHAnsi"/>
        </w:rPr>
        <w:t xml:space="preserve"> Notes du LIRHE – Octobre 2005</w:t>
      </w:r>
    </w:p>
    <w:p w:rsidR="007563B4" w:rsidRPr="00AD5FAD" w:rsidRDefault="007563B4" w:rsidP="007563B4">
      <w:pPr>
        <w:autoSpaceDE w:val="0"/>
        <w:autoSpaceDN w:val="0"/>
        <w:adjustRightInd w:val="0"/>
        <w:spacing w:after="0" w:line="240" w:lineRule="auto"/>
        <w:jc w:val="right"/>
        <w:rPr>
          <w:rFonts w:cstheme="minorHAnsi"/>
        </w:rPr>
      </w:pPr>
      <w:r w:rsidRPr="00AD5FAD">
        <w:rPr>
          <w:rFonts w:cstheme="minorHAnsi"/>
        </w:rPr>
        <w:t xml:space="preserve">Unité mixte de recherche CNRS/Université des Sciences Sociales de Toulouse </w:t>
      </w:r>
    </w:p>
    <w:p w:rsidR="007563B4" w:rsidRPr="007563B4" w:rsidRDefault="007563B4" w:rsidP="007563B4"/>
    <w:sectPr w:rsidR="007563B4" w:rsidRPr="007563B4" w:rsidSect="00F12C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06B47"/>
    <w:multiLevelType w:val="multilevel"/>
    <w:tmpl w:val="B98A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054A7B"/>
    <w:multiLevelType w:val="hybridMultilevel"/>
    <w:tmpl w:val="049894A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563B4"/>
    <w:rsid w:val="001460EE"/>
    <w:rsid w:val="007563B4"/>
    <w:rsid w:val="007630A3"/>
    <w:rsid w:val="00886195"/>
    <w:rsid w:val="008A13F2"/>
    <w:rsid w:val="008B2E6E"/>
    <w:rsid w:val="00A971CF"/>
    <w:rsid w:val="00B97279"/>
    <w:rsid w:val="00F12CD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CD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563B4"/>
    <w:rPr>
      <w:color w:val="0000FF"/>
      <w:u w:val="single"/>
    </w:rPr>
  </w:style>
  <w:style w:type="character" w:styleId="CitationHTML">
    <w:name w:val="HTML Cite"/>
    <w:basedOn w:val="Policepardfaut"/>
    <w:uiPriority w:val="99"/>
    <w:semiHidden/>
    <w:unhideWhenUsed/>
    <w:rsid w:val="007563B4"/>
    <w:rPr>
      <w:i w:val="0"/>
      <w:iCs w:val="0"/>
      <w:color w:val="0E774A"/>
    </w:rPr>
  </w:style>
  <w:style w:type="paragraph" w:customStyle="1" w:styleId="titrepage">
    <w:name w:val="titrepage"/>
    <w:basedOn w:val="Normal"/>
    <w:rsid w:val="007563B4"/>
    <w:pPr>
      <w:spacing w:before="100" w:beforeAutospacing="1" w:after="100" w:afterAutospacing="1" w:line="240" w:lineRule="auto"/>
    </w:pPr>
    <w:rPr>
      <w:rFonts w:ascii="Arial" w:eastAsia="Times New Roman" w:hAnsi="Arial" w:cs="Arial"/>
      <w:b/>
      <w:bCs/>
      <w:color w:val="9999FF"/>
      <w:spacing w:val="75"/>
      <w:sz w:val="24"/>
      <w:szCs w:val="24"/>
      <w:u w:val="single"/>
      <w:lang w:eastAsia="fr-FR"/>
    </w:rPr>
  </w:style>
  <w:style w:type="character" w:customStyle="1" w:styleId="txt1">
    <w:name w:val="txt1"/>
    <w:basedOn w:val="Policepardfaut"/>
    <w:rsid w:val="007563B4"/>
    <w:rPr>
      <w:rFonts w:ascii="Arial" w:hAnsi="Arial" w:cs="Arial" w:hint="default"/>
      <w:color w:val="666666"/>
      <w:sz w:val="18"/>
      <w:szCs w:val="18"/>
    </w:rPr>
  </w:style>
  <w:style w:type="paragraph" w:styleId="Corpsdetexte">
    <w:name w:val="Body Text"/>
    <w:basedOn w:val="Normal"/>
    <w:link w:val="CorpsdetexteCar"/>
    <w:rsid w:val="007563B4"/>
    <w:pPr>
      <w:spacing w:after="0" w:line="240" w:lineRule="auto"/>
      <w:jc w:val="both"/>
    </w:pPr>
    <w:rPr>
      <w:rFonts w:ascii="Times New Roman" w:eastAsia="Times New Roman" w:hAnsi="Times New Roman" w:cs="Times New Roman"/>
      <w:sz w:val="24"/>
      <w:szCs w:val="20"/>
      <w:lang w:eastAsia="fr-FR"/>
    </w:rPr>
  </w:style>
  <w:style w:type="character" w:customStyle="1" w:styleId="CorpsdetexteCar">
    <w:name w:val="Corps de texte Car"/>
    <w:basedOn w:val="Policepardfaut"/>
    <w:link w:val="Corpsdetexte"/>
    <w:rsid w:val="007563B4"/>
    <w:rPr>
      <w:rFonts w:ascii="Times New Roman" w:eastAsia="Times New Roman" w:hAnsi="Times New Roman" w:cs="Times New Roman"/>
      <w:sz w:val="24"/>
      <w:szCs w:val="20"/>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letudiant.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dj.com" TargetMode="External"/><Relationship Id="rId11" Type="http://schemas.openxmlformats.org/officeDocument/2006/relationships/fontTable" Target="fontTable.xml"/><Relationship Id="rId5" Type="http://schemas.openxmlformats.org/officeDocument/2006/relationships/hyperlink" Target="http://www.webcompetence.com" TargetMode="External"/><Relationship Id="rId10" Type="http://schemas.openxmlformats.org/officeDocument/2006/relationships/hyperlink" Target="http://www.demarchecompetence.com" TargetMode="External"/><Relationship Id="rId4" Type="http://schemas.openxmlformats.org/officeDocument/2006/relationships/webSettings" Target="webSettings.xml"/><Relationship Id="rId9" Type="http://schemas.openxmlformats.org/officeDocument/2006/relationships/package" Target="embeddings/Mod_le_Microsoft_Office_PowerPoint_20071.sl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2050</Words>
  <Characters>11277</Characters>
  <Application>Microsoft Office Word</Application>
  <DocSecurity>0</DocSecurity>
  <Lines>93</Lines>
  <Paragraphs>26</Paragraphs>
  <ScaleCrop>false</ScaleCrop>
  <Company>Hewlett-Packard</Company>
  <LinksUpToDate>false</LinksUpToDate>
  <CharactersWithSpaces>13301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dc:creator>
  <cp:lastModifiedBy>ANNE</cp:lastModifiedBy>
  <cp:revision>5</cp:revision>
  <dcterms:created xsi:type="dcterms:W3CDTF">2010-12-08T09:54:00Z</dcterms:created>
  <dcterms:modified xsi:type="dcterms:W3CDTF">2010-12-12T11:51:00Z</dcterms:modified>
</cp:coreProperties>
</file>